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8AA" w:rsidRDefault="00C458AA" w:rsidP="005423AC">
      <w:pPr>
        <w:rPr>
          <w:rFonts w:ascii="Times New Roman" w:hAnsi="Times New Roman"/>
          <w:sz w:val="28"/>
          <w:szCs w:val="28"/>
        </w:rPr>
      </w:pPr>
    </w:p>
    <w:p w:rsidR="009D1C14" w:rsidRDefault="00290D99" w:rsidP="00290D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C14">
        <w:rPr>
          <w:rFonts w:ascii="Times New Roman" w:hAnsi="Times New Roman"/>
          <w:sz w:val="24"/>
          <w:szCs w:val="24"/>
        </w:rPr>
        <w:t xml:space="preserve">Приложение № 1 </w:t>
      </w:r>
      <w:r w:rsidR="004279EA" w:rsidRPr="009D1C14">
        <w:rPr>
          <w:rFonts w:ascii="Times New Roman" w:hAnsi="Times New Roman"/>
          <w:sz w:val="24"/>
          <w:szCs w:val="24"/>
        </w:rPr>
        <w:t xml:space="preserve">к приказу </w:t>
      </w:r>
    </w:p>
    <w:p w:rsidR="00290D99" w:rsidRPr="009D1C14" w:rsidRDefault="004279EA" w:rsidP="00290D9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D1C14">
        <w:rPr>
          <w:rFonts w:ascii="Times New Roman" w:hAnsi="Times New Roman"/>
          <w:sz w:val="24"/>
          <w:szCs w:val="24"/>
        </w:rPr>
        <w:t>Липецкстата от 30.12.2021 г.</w:t>
      </w:r>
      <w:r w:rsidR="00DE24A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D1C14" w:rsidRPr="009D1C14">
        <w:rPr>
          <w:rFonts w:ascii="Times New Roman" w:hAnsi="Times New Roman"/>
          <w:sz w:val="24"/>
          <w:szCs w:val="24"/>
        </w:rPr>
        <w:t>№227</w:t>
      </w:r>
    </w:p>
    <w:p w:rsidR="00290D99" w:rsidRDefault="00290D99" w:rsidP="00290D9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90D99" w:rsidRPr="00B86A0E" w:rsidRDefault="00290D99" w:rsidP="00290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 xml:space="preserve">Порядок </w:t>
      </w:r>
    </w:p>
    <w:p w:rsidR="00290D99" w:rsidRPr="00B86A0E" w:rsidRDefault="00290D99" w:rsidP="00290D9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 xml:space="preserve">оценки коррупционных рисков и их минимизации при осуществлении закупок товаров, работ, услуг для нужд Территориального органа Федеральной службы государственной статистики по </w:t>
      </w:r>
      <w:r>
        <w:rPr>
          <w:rFonts w:ascii="Times New Roman" w:hAnsi="Times New Roman"/>
          <w:sz w:val="28"/>
          <w:szCs w:val="28"/>
        </w:rPr>
        <w:t>Липецкой</w:t>
      </w:r>
      <w:r w:rsidRPr="00B86A0E">
        <w:rPr>
          <w:rFonts w:ascii="Times New Roman" w:hAnsi="Times New Roman"/>
          <w:sz w:val="28"/>
          <w:szCs w:val="28"/>
        </w:rPr>
        <w:t xml:space="preserve"> области</w:t>
      </w:r>
    </w:p>
    <w:p w:rsidR="00290D99" w:rsidRPr="00B86A0E" w:rsidRDefault="00290D99" w:rsidP="00290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0D99" w:rsidRPr="00BB784B" w:rsidRDefault="00290D99" w:rsidP="00290D99">
      <w:pPr>
        <w:pStyle w:val="a3"/>
        <w:numPr>
          <w:ilvl w:val="0"/>
          <w:numId w:val="8"/>
        </w:num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B784B">
        <w:rPr>
          <w:rFonts w:ascii="Times New Roman" w:hAnsi="Times New Roman"/>
          <w:sz w:val="28"/>
          <w:szCs w:val="28"/>
        </w:rPr>
        <w:t>Общие положения</w:t>
      </w:r>
    </w:p>
    <w:p w:rsidR="00290D99" w:rsidRPr="00BB784B" w:rsidRDefault="00290D99" w:rsidP="00290D99">
      <w:pPr>
        <w:pStyle w:val="a3"/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 xml:space="preserve">1. Настоящий Порядок  оценки коррупционных рисков и их минимизации при осуществлении закупок товаров, работ, услуг для нужд Территориального органа Федеральной службы государственной статистики по </w:t>
      </w:r>
      <w:r w:rsidR="008958AF">
        <w:rPr>
          <w:rFonts w:ascii="Times New Roman" w:hAnsi="Times New Roman"/>
          <w:sz w:val="28"/>
          <w:szCs w:val="28"/>
        </w:rPr>
        <w:t>Липецкой</w:t>
      </w:r>
      <w:r w:rsidRPr="00B86A0E">
        <w:rPr>
          <w:rFonts w:ascii="Times New Roman" w:hAnsi="Times New Roman"/>
          <w:sz w:val="28"/>
          <w:szCs w:val="28"/>
        </w:rPr>
        <w:t xml:space="preserve"> области (далее – Порядок) разработан в соответствии с Методическими рекомендациями Мин</w:t>
      </w:r>
      <w:r w:rsidR="008958AF">
        <w:rPr>
          <w:rFonts w:ascii="Times New Roman" w:hAnsi="Times New Roman"/>
          <w:sz w:val="28"/>
          <w:szCs w:val="28"/>
        </w:rPr>
        <w:t>истерства труда Российской Федерации</w:t>
      </w:r>
      <w:r w:rsidRPr="00B86A0E">
        <w:rPr>
          <w:rFonts w:ascii="Times New Roman" w:hAnsi="Times New Roman"/>
          <w:sz w:val="28"/>
          <w:szCs w:val="28"/>
        </w:rPr>
        <w:t xml:space="preserve">. 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 xml:space="preserve">2. Порядок направлен на внедрение эффективного механизма по профилактике и пресечению коррупционных проявлений в закупочной деятельности Территориального органа Федеральной службы государственной статистики по </w:t>
      </w:r>
      <w:r w:rsidR="008958AF">
        <w:rPr>
          <w:rFonts w:ascii="Times New Roman" w:hAnsi="Times New Roman"/>
          <w:sz w:val="28"/>
          <w:szCs w:val="28"/>
        </w:rPr>
        <w:t>Липецкой</w:t>
      </w:r>
      <w:r w:rsidRPr="00B86A0E">
        <w:rPr>
          <w:rFonts w:ascii="Times New Roman" w:hAnsi="Times New Roman"/>
          <w:sz w:val="28"/>
          <w:szCs w:val="28"/>
        </w:rPr>
        <w:t xml:space="preserve"> области (далее – </w:t>
      </w:r>
      <w:r w:rsidR="008958AF">
        <w:rPr>
          <w:rFonts w:ascii="Times New Roman" w:hAnsi="Times New Roman"/>
          <w:sz w:val="28"/>
          <w:szCs w:val="28"/>
        </w:rPr>
        <w:t>Липецкстат</w:t>
      </w:r>
      <w:r w:rsidRPr="00B86A0E">
        <w:rPr>
          <w:rFonts w:ascii="Times New Roman" w:hAnsi="Times New Roman"/>
          <w:sz w:val="28"/>
          <w:szCs w:val="28"/>
        </w:rPr>
        <w:t xml:space="preserve">) с целью минимизации коррупционных рисков при осуществлении закупок товаров, работ, услуг для нужд </w:t>
      </w:r>
      <w:r w:rsidR="008958AF">
        <w:rPr>
          <w:rFonts w:ascii="Times New Roman" w:hAnsi="Times New Roman"/>
          <w:sz w:val="28"/>
          <w:szCs w:val="28"/>
        </w:rPr>
        <w:t>Липецкстата</w:t>
      </w:r>
      <w:r w:rsidRPr="00B86A0E">
        <w:rPr>
          <w:rFonts w:ascii="Times New Roman" w:hAnsi="Times New Roman"/>
          <w:sz w:val="28"/>
          <w:szCs w:val="28"/>
        </w:rPr>
        <w:t>, осуществляемых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(далее – Закон № 44-ФЗ).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 xml:space="preserve">3. Порядок определяет возможные признаки </w:t>
      </w:r>
      <w:r w:rsidR="008958AF">
        <w:rPr>
          <w:rFonts w:ascii="Times New Roman" w:hAnsi="Times New Roman"/>
          <w:sz w:val="28"/>
          <w:szCs w:val="28"/>
        </w:rPr>
        <w:t xml:space="preserve">коррупционных </w:t>
      </w:r>
      <w:r w:rsidRPr="00B86A0E">
        <w:rPr>
          <w:rFonts w:ascii="Times New Roman" w:hAnsi="Times New Roman"/>
          <w:sz w:val="28"/>
          <w:szCs w:val="28"/>
        </w:rPr>
        <w:t>проявлений и основные подходы к их выявлению и пресечению.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>4. Процедура оценки коррупционных рисков и принятия мер по минимизации выявленных коррупционных рисков состоит из нескольких последовательных этапов: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>- подготовительный этап;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 xml:space="preserve">- описание процедуры осуществления закупки в </w:t>
      </w:r>
      <w:r w:rsidR="008958AF">
        <w:rPr>
          <w:rFonts w:ascii="Times New Roman" w:hAnsi="Times New Roman"/>
          <w:sz w:val="28"/>
          <w:szCs w:val="28"/>
        </w:rPr>
        <w:t>Липецкстате</w:t>
      </w:r>
      <w:r w:rsidRPr="00B86A0E">
        <w:rPr>
          <w:rFonts w:ascii="Times New Roman" w:hAnsi="Times New Roman"/>
          <w:sz w:val="28"/>
          <w:szCs w:val="28"/>
        </w:rPr>
        <w:t>;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>- идентификация коррупционных рисков;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>- анализ коррупционных рисков;</w:t>
      </w:r>
    </w:p>
    <w:p w:rsidR="008958AF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 xml:space="preserve">- ранжирование коррупционных рисков; </w:t>
      </w:r>
    </w:p>
    <w:p w:rsidR="00290D99" w:rsidRPr="00B86A0E" w:rsidRDefault="008958AF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290D99" w:rsidRPr="00B86A0E">
        <w:rPr>
          <w:rFonts w:ascii="Times New Roman" w:hAnsi="Times New Roman"/>
          <w:sz w:val="28"/>
          <w:szCs w:val="28"/>
        </w:rPr>
        <w:t xml:space="preserve"> разработка мер по минимизации коррупционных рисков;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>- утверждение результатов оценки коррупционных рисков;</w:t>
      </w:r>
    </w:p>
    <w:p w:rsidR="00290D99" w:rsidRPr="00B86A0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>- мониторинг реализации мер по минимизации выявленных коррупционных рисков.</w:t>
      </w:r>
    </w:p>
    <w:p w:rsidR="00290D99" w:rsidRPr="00B86A0E" w:rsidRDefault="008958AF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290D99" w:rsidRPr="00B86A0E">
        <w:rPr>
          <w:rFonts w:ascii="Times New Roman" w:hAnsi="Times New Roman"/>
          <w:sz w:val="28"/>
          <w:szCs w:val="28"/>
        </w:rPr>
        <w:t xml:space="preserve">. Для целей оценки коррупционных рисков </w:t>
      </w:r>
      <w:r>
        <w:rPr>
          <w:rFonts w:ascii="Times New Roman" w:hAnsi="Times New Roman"/>
          <w:sz w:val="28"/>
          <w:szCs w:val="28"/>
        </w:rPr>
        <w:t>утверждена рабочая группа</w:t>
      </w:r>
      <w:r w:rsidR="00290D99" w:rsidRPr="00B86A0E">
        <w:rPr>
          <w:rFonts w:ascii="Times New Roman" w:hAnsi="Times New Roman"/>
          <w:sz w:val="28"/>
          <w:szCs w:val="28"/>
        </w:rPr>
        <w:t>.</w:t>
      </w:r>
    </w:p>
    <w:p w:rsidR="00290D99" w:rsidRPr="00B86A0E" w:rsidRDefault="008958AF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90D99" w:rsidRPr="00B86A0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90D99" w:rsidRPr="00B86A0E">
        <w:rPr>
          <w:rFonts w:ascii="Times New Roman" w:hAnsi="Times New Roman"/>
          <w:sz w:val="28"/>
          <w:szCs w:val="28"/>
        </w:rPr>
        <w:t xml:space="preserve">Для целей выявления коррупционных рисков, возникающих при осуществлении закупки, используются внутренние (организационно-штатная структура, положения об отделах, должностные регламенты гражданских служащих и т.п.) и внешние (нормативно-правовые акты Российской Федерации, обращения граждан, материалы, представленные Управлением </w:t>
      </w:r>
      <w:r w:rsidR="00290D99" w:rsidRPr="00B86A0E">
        <w:rPr>
          <w:rFonts w:ascii="Times New Roman" w:hAnsi="Times New Roman"/>
          <w:sz w:val="28"/>
          <w:szCs w:val="28"/>
        </w:rPr>
        <w:lastRenderedPageBreak/>
        <w:t>Федеральной антимонопольной службы источники информации</w:t>
      </w:r>
      <w:r>
        <w:rPr>
          <w:rFonts w:ascii="Times New Roman" w:hAnsi="Times New Roman"/>
          <w:sz w:val="28"/>
          <w:szCs w:val="28"/>
        </w:rPr>
        <w:t xml:space="preserve"> и иные органы</w:t>
      </w:r>
      <w:r w:rsidR="00290D99" w:rsidRPr="00B86A0E">
        <w:rPr>
          <w:rFonts w:ascii="Times New Roman" w:hAnsi="Times New Roman"/>
          <w:sz w:val="28"/>
          <w:szCs w:val="28"/>
        </w:rPr>
        <w:t>.</w:t>
      </w:r>
      <w:proofErr w:type="gramEnd"/>
    </w:p>
    <w:p w:rsidR="00290D99" w:rsidRPr="00B86A0E" w:rsidRDefault="008958AF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90D99" w:rsidRPr="00B86A0E">
        <w:rPr>
          <w:rFonts w:ascii="Times New Roman" w:hAnsi="Times New Roman"/>
          <w:sz w:val="28"/>
          <w:szCs w:val="28"/>
        </w:rPr>
        <w:t xml:space="preserve">. При проведении оценки коррупционных рисков детально анализируется процедура осуществления закупок в </w:t>
      </w:r>
      <w:r>
        <w:rPr>
          <w:rFonts w:ascii="Times New Roman" w:hAnsi="Times New Roman"/>
          <w:sz w:val="28"/>
          <w:szCs w:val="28"/>
        </w:rPr>
        <w:t>Липецкстате</w:t>
      </w:r>
      <w:r w:rsidR="00290D99" w:rsidRPr="00B86A0E">
        <w:rPr>
          <w:rFonts w:ascii="Times New Roman" w:hAnsi="Times New Roman"/>
          <w:sz w:val="28"/>
          <w:szCs w:val="28"/>
        </w:rPr>
        <w:t xml:space="preserve">, а также идентификация коррупционных рисков. </w:t>
      </w:r>
    </w:p>
    <w:p w:rsidR="00290D99" w:rsidRPr="00B86A0E" w:rsidRDefault="008958AF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8</w:t>
      </w:r>
      <w:r w:rsidR="00290D99" w:rsidRPr="00B86A0E">
        <w:rPr>
          <w:rFonts w:ascii="Times New Roman" w:hAnsi="Times New Roman"/>
          <w:sz w:val="28"/>
          <w:szCs w:val="28"/>
        </w:rPr>
        <w:t xml:space="preserve">. </w:t>
      </w:r>
      <w:r w:rsidR="00290D99" w:rsidRPr="00B86A0E">
        <w:rPr>
          <w:rFonts w:ascii="Times New Roman" w:hAnsi="Times New Roman"/>
          <w:sz w:val="28"/>
          <w:szCs w:val="28"/>
          <w:lang w:bidi="ru-RU"/>
        </w:rPr>
        <w:t xml:space="preserve">К числу возможных форм коррупционных проявлений </w:t>
      </w:r>
      <w:proofErr w:type="gramStart"/>
      <w:r w:rsidR="00290D99" w:rsidRPr="00B86A0E">
        <w:rPr>
          <w:rFonts w:ascii="Times New Roman" w:hAnsi="Times New Roman"/>
          <w:sz w:val="28"/>
          <w:szCs w:val="28"/>
          <w:lang w:bidi="ru-RU"/>
        </w:rPr>
        <w:t>в</w:t>
      </w:r>
      <w:proofErr w:type="gramEnd"/>
      <w:r w:rsidR="00290D99" w:rsidRPr="00B86A0E">
        <w:rPr>
          <w:rFonts w:ascii="Times New Roman" w:hAnsi="Times New Roman"/>
          <w:sz w:val="28"/>
          <w:szCs w:val="28"/>
          <w:lang w:bidi="ru-RU"/>
        </w:rPr>
        <w:t xml:space="preserve"> </w:t>
      </w:r>
      <w:proofErr w:type="gramStart"/>
      <w:r w:rsidR="00290D99" w:rsidRPr="00B86A0E">
        <w:rPr>
          <w:rFonts w:ascii="Times New Roman" w:hAnsi="Times New Roman"/>
          <w:sz w:val="28"/>
          <w:szCs w:val="28"/>
          <w:lang w:bidi="ru-RU"/>
        </w:rPr>
        <w:t>при</w:t>
      </w:r>
      <w:proofErr w:type="gramEnd"/>
      <w:r w:rsidR="00290D99" w:rsidRPr="00B86A0E">
        <w:rPr>
          <w:rFonts w:ascii="Times New Roman" w:hAnsi="Times New Roman"/>
          <w:sz w:val="28"/>
          <w:szCs w:val="28"/>
          <w:lang w:bidi="ru-RU"/>
        </w:rPr>
        <w:t xml:space="preserve"> осуществлении закупок можно отнести следующие коррупционные риски:</w:t>
      </w:r>
    </w:p>
    <w:p w:rsidR="00290D99" w:rsidRPr="00B86A0E" w:rsidRDefault="00290D99" w:rsidP="00290D9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 w:rsidRPr="00B86A0E">
        <w:rPr>
          <w:rFonts w:ascii="Times New Roman" w:hAnsi="Times New Roman"/>
          <w:sz w:val="28"/>
          <w:szCs w:val="28"/>
          <w:lang w:bidi="ru-RU"/>
        </w:rPr>
        <w:t>- описание объекта закупки и определение условий исполнения контракта;</w:t>
      </w:r>
    </w:p>
    <w:p w:rsidR="00290D99" w:rsidRPr="00B86A0E" w:rsidRDefault="00290D99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sz w:val="28"/>
          <w:szCs w:val="28"/>
          <w:lang w:bidi="ru-RU"/>
        </w:rPr>
        <w:t>- </w:t>
      </w:r>
      <w:r w:rsidRPr="00B86A0E">
        <w:rPr>
          <w:rFonts w:ascii="Times New Roman" w:hAnsi="Times New Roman"/>
          <w:bCs/>
          <w:sz w:val="28"/>
          <w:szCs w:val="28"/>
          <w:lang w:bidi="ru-RU"/>
        </w:rPr>
        <w:t>определение и обоснование начальной (максимальной) цены контракта или цены контракта с единственным поставщиком;</w:t>
      </w:r>
    </w:p>
    <w:p w:rsidR="00290D99" w:rsidRPr="00B86A0E" w:rsidRDefault="00290D99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- разработка </w:t>
      </w:r>
      <w:r w:rsidR="008958AF">
        <w:rPr>
          <w:rFonts w:ascii="Times New Roman" w:hAnsi="Times New Roman"/>
          <w:bCs/>
          <w:sz w:val="28"/>
          <w:szCs w:val="28"/>
          <w:lang w:bidi="ru-RU"/>
        </w:rPr>
        <w:t xml:space="preserve">документов </w:t>
      </w:r>
      <w:r w:rsidRPr="00B86A0E">
        <w:rPr>
          <w:rFonts w:ascii="Times New Roman" w:hAnsi="Times New Roman"/>
          <w:bCs/>
          <w:sz w:val="28"/>
          <w:szCs w:val="28"/>
          <w:lang w:bidi="ru-RU"/>
        </w:rPr>
        <w:t>о закупке;</w:t>
      </w:r>
    </w:p>
    <w:p w:rsidR="00290D99" w:rsidRPr="00B86A0E" w:rsidRDefault="00290D99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- публикация информации о закупке на официальном сайте единой информационной системы в сфере закупок в информационно-телекоммуникационной сети Интернет (далее – ЕИС);</w:t>
      </w:r>
    </w:p>
    <w:p w:rsidR="008958AF" w:rsidRDefault="00290D99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- определение поставщиков (подрядчиков, исполнителей);</w:t>
      </w:r>
    </w:p>
    <w:p w:rsidR="00290D99" w:rsidRPr="00B86A0E" w:rsidRDefault="008958AF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>- приемка выполненных работ, оказанных услуг и поставленных товаров по государственным контрактам.</w:t>
      </w:r>
    </w:p>
    <w:p w:rsidR="00290D99" w:rsidRPr="00B86A0E" w:rsidRDefault="008958AF" w:rsidP="00290D99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9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 xml:space="preserve">. Потенциально возможные коррупционные схемы отражены в карте коррупционных рисков, возникающих при осуществлении закупок товаров, работ, услуг для нужд </w:t>
      </w:r>
      <w:r>
        <w:rPr>
          <w:rFonts w:ascii="Times New Roman" w:hAnsi="Times New Roman"/>
          <w:bCs/>
          <w:sz w:val="28"/>
          <w:szCs w:val="28"/>
          <w:lang w:bidi="ru-RU"/>
        </w:rPr>
        <w:t>Липецкстата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>.</w:t>
      </w:r>
    </w:p>
    <w:p w:rsidR="00290D99" w:rsidRPr="00B86A0E" w:rsidRDefault="008958AF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10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>. Целью минимизации коррупционных рисков является снижение вероятности совершения коррупционного правонарушения и (или) возможного вреда от реализации такого риска (снижение до приемлемого уровня или его исключение). Для каждого выявленного коррупционного риска определяются меры по их минимизации.</w:t>
      </w:r>
    </w:p>
    <w:p w:rsidR="00290D99" w:rsidRPr="00B86A0E" w:rsidRDefault="00BD3D7D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11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>. Снижению коррупционных рисков при осуществлении закупок способствует:</w:t>
      </w:r>
    </w:p>
    <w:p w:rsidR="00290D99" w:rsidRPr="00B86A0E" w:rsidRDefault="00290D99" w:rsidP="00290D9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повышение уровня конкуренции, честности и прозрачности при осуществлении закупок (например, обеспечение возможности для широкого круга физических и юридических лиц участвовать в закупочных процедурах и недопущение влияние личной заинтересованности служащих (работников) на результаты таких процедур);</w:t>
      </w:r>
    </w:p>
    <w:p w:rsidR="00290D99" w:rsidRPr="00B86A0E" w:rsidRDefault="00290D99" w:rsidP="00290D9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повышение (улучшение) знаний и навыков служащих (работников), участвующих в осуществлении закупок;</w:t>
      </w:r>
    </w:p>
    <w:p w:rsidR="00290D99" w:rsidRPr="00B86A0E" w:rsidRDefault="00290D99" w:rsidP="00290D9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усиление </w:t>
      </w:r>
      <w:proofErr w:type="gramStart"/>
      <w:r w:rsidRPr="00B86A0E">
        <w:rPr>
          <w:rFonts w:ascii="Times New Roman" w:hAnsi="Times New Roman"/>
          <w:bCs/>
          <w:sz w:val="28"/>
          <w:szCs w:val="28"/>
          <w:lang w:bidi="ru-RU"/>
        </w:rPr>
        <w:t>контроля за</w:t>
      </w:r>
      <w:proofErr w:type="gramEnd"/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 недопущением совершения коррупционных правонарушений при осуществлении закупочных процедур;</w:t>
      </w:r>
    </w:p>
    <w:p w:rsidR="00290D99" w:rsidRPr="00B86A0E" w:rsidRDefault="00290D99" w:rsidP="00290D9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использование стандартизированных процедур и документов при осуществлении закупки «обычных» товаров, работ, услуг;</w:t>
      </w:r>
    </w:p>
    <w:p w:rsidR="00290D99" w:rsidRPr="00B86A0E" w:rsidRDefault="00290D99" w:rsidP="00290D9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проведение правового просвещения и информирования;</w:t>
      </w:r>
    </w:p>
    <w:p w:rsidR="00290D99" w:rsidRPr="00B86A0E" w:rsidRDefault="00290D99" w:rsidP="00290D9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повышение качества юридической экспертизы конкурсной документации в целях исключения противоречивых условий исполнения контракта;</w:t>
      </w:r>
    </w:p>
    <w:p w:rsidR="00290D99" w:rsidRPr="00B86A0E" w:rsidRDefault="00290D99" w:rsidP="00290D99">
      <w:pPr>
        <w:numPr>
          <w:ilvl w:val="0"/>
          <w:numId w:val="7"/>
        </w:num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анализ обоснованности изменения условий контракта, причин затягивания (ускорения) сроков заключения (исполнения) контракта и т.д.</w:t>
      </w:r>
    </w:p>
    <w:p w:rsidR="00290D99" w:rsidRPr="00B86A0E" w:rsidRDefault="00290D99" w:rsidP="00290D99">
      <w:pPr>
        <w:spacing w:after="0" w:line="240" w:lineRule="atLeast"/>
        <w:ind w:firstLine="708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290D99" w:rsidRDefault="00290D99" w:rsidP="00290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lastRenderedPageBreak/>
        <w:t xml:space="preserve">2. Оценка коррупционных рисков при осуществлении закупок </w:t>
      </w:r>
      <w:r w:rsidRPr="00B86A0E">
        <w:rPr>
          <w:rFonts w:ascii="Times New Roman" w:hAnsi="Times New Roman"/>
          <w:sz w:val="28"/>
          <w:szCs w:val="28"/>
        </w:rPr>
        <w:br/>
        <w:t xml:space="preserve">товаров, работ, услуг для нужд </w:t>
      </w:r>
      <w:r w:rsidR="00BD3D7D">
        <w:rPr>
          <w:rFonts w:ascii="Times New Roman" w:hAnsi="Times New Roman"/>
          <w:sz w:val="28"/>
          <w:szCs w:val="28"/>
        </w:rPr>
        <w:t>Липецкстата</w:t>
      </w:r>
    </w:p>
    <w:p w:rsidR="00290D99" w:rsidRPr="00B86A0E" w:rsidRDefault="00290D99" w:rsidP="00290D99">
      <w:pPr>
        <w:spacing w:after="0" w:line="240" w:lineRule="atLeast"/>
        <w:jc w:val="center"/>
        <w:rPr>
          <w:rFonts w:ascii="Times New Roman" w:hAnsi="Times New Roman"/>
          <w:sz w:val="28"/>
          <w:szCs w:val="28"/>
        </w:rPr>
      </w:pPr>
    </w:p>
    <w:p w:rsidR="00290D99" w:rsidRPr="00B86A0E" w:rsidRDefault="00BD3D7D" w:rsidP="00290D9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12</w:t>
      </w:r>
      <w:r w:rsidR="00290D99" w:rsidRPr="00B86A0E">
        <w:rPr>
          <w:rFonts w:ascii="Times New Roman" w:hAnsi="Times New Roman"/>
          <w:sz w:val="28"/>
          <w:szCs w:val="28"/>
        </w:rPr>
        <w:t xml:space="preserve">. Для оценки значимости коррупционных рисков при осуществлении закупок товаров, работ, услуг для нужд </w:t>
      </w:r>
      <w:r>
        <w:rPr>
          <w:rFonts w:ascii="Times New Roman" w:hAnsi="Times New Roman"/>
          <w:sz w:val="28"/>
          <w:szCs w:val="28"/>
        </w:rPr>
        <w:t>Липецкстата</w:t>
      </w:r>
      <w:r w:rsidR="00290D99" w:rsidRPr="00B86A0E">
        <w:rPr>
          <w:rFonts w:ascii="Times New Roman" w:hAnsi="Times New Roman"/>
          <w:sz w:val="28"/>
          <w:szCs w:val="28"/>
        </w:rPr>
        <w:t xml:space="preserve"> должен использоваться метод оценки значимости коррупционных рисков на основе </w:t>
      </w:r>
      <w:proofErr w:type="spellStart"/>
      <w:r w:rsidR="00290D99" w:rsidRPr="00B86A0E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="00290D99" w:rsidRPr="00B86A0E">
        <w:rPr>
          <w:rFonts w:ascii="Times New Roman" w:hAnsi="Times New Roman"/>
          <w:sz w:val="28"/>
          <w:szCs w:val="28"/>
        </w:rPr>
        <w:t xml:space="preserve"> факторов. Данный метод основан на анализе наличия и степени выраженности обстоятельств, увеличивающих вероятность совершения коррупционных правонарушений.</w:t>
      </w:r>
    </w:p>
    <w:p w:rsidR="00290D99" w:rsidRPr="00B86A0E" w:rsidRDefault="00BD3D7D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</w:rPr>
        <w:t>13</w:t>
      </w:r>
      <w:r w:rsidR="00290D99" w:rsidRPr="00B86A0E">
        <w:rPr>
          <w:rFonts w:ascii="Times New Roman" w:hAnsi="Times New Roman"/>
          <w:sz w:val="28"/>
          <w:szCs w:val="28"/>
        </w:rPr>
        <w:t xml:space="preserve">. Для оценки коррупционных рисков должны использоваться критерии, приведенные в Методических </w:t>
      </w:r>
      <w:r w:rsidR="00290D99" w:rsidRPr="00B86A0E">
        <w:rPr>
          <w:rFonts w:ascii="Times New Roman" w:hAnsi="Times New Roman"/>
          <w:sz w:val="28"/>
          <w:szCs w:val="28"/>
          <w:lang w:bidi="ru-RU"/>
        </w:rPr>
        <w:t>рекомендациях Минтруда России по выявлению и минимизации коррупционных рисков при осуществлении закупок товаров, работ, услуг для обеспечения государственных или муниципальных нужд:</w:t>
      </w:r>
    </w:p>
    <w:p w:rsidR="00290D99" w:rsidRPr="00B86A0E" w:rsidRDefault="00BD3D7D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13</w:t>
      </w:r>
      <w:r w:rsidR="00290D99" w:rsidRPr="00B86A0E">
        <w:rPr>
          <w:rFonts w:ascii="Times New Roman" w:hAnsi="Times New Roman"/>
          <w:sz w:val="28"/>
          <w:szCs w:val="28"/>
          <w:lang w:bidi="ru-RU"/>
        </w:rPr>
        <w:t>.1. Градация степени выраженности критерия «вероятность реализации»:</w:t>
      </w:r>
    </w:p>
    <w:p w:rsidR="00290D99" w:rsidRPr="00C46F9E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4A0"/>
      </w:tblPr>
      <w:tblGrid>
        <w:gridCol w:w="2291"/>
        <w:gridCol w:w="1563"/>
        <w:gridCol w:w="6229"/>
      </w:tblGrid>
      <w:tr w:rsidR="00290D99" w:rsidTr="008958AF">
        <w:trPr>
          <w:trHeight w:hRule="exact" w:val="662"/>
          <w:tblHeader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Степень</w:t>
            </w:r>
          </w:p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выраженности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Процентный</w:t>
            </w:r>
          </w:p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показатель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Описание</w:t>
            </w:r>
          </w:p>
        </w:tc>
      </w:tr>
      <w:tr w:rsidR="00290D99" w:rsidTr="008958AF">
        <w:trPr>
          <w:trHeight w:hRule="exact" w:val="1068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часто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Более 75%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Сомнения в том, что событие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произойдет практически отсутствуют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. В определенных обстоятельствах событие происходит очень часто, что подтверждается аналитическими данными</w:t>
            </w:r>
          </w:p>
        </w:tc>
      </w:tr>
      <w:tr w:rsidR="00290D99" w:rsidTr="008958AF">
        <w:trPr>
          <w:trHeight w:hRule="exact" w:val="71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Высокая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50% - 75%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Событие происходит в большинстве случаев. При определенных обстоятельствах событие является прогнозируемым</w:t>
            </w:r>
          </w:p>
        </w:tc>
      </w:tr>
      <w:tr w:rsidR="00290D99" w:rsidTr="008958AF">
        <w:trPr>
          <w:trHeight w:hRule="exact" w:val="450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Средняя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25% - 50%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Событие происходит редко, но является наблюдаемым</w:t>
            </w:r>
          </w:p>
        </w:tc>
      </w:tr>
      <w:tr w:rsidR="00290D99" w:rsidTr="008958AF">
        <w:trPr>
          <w:trHeight w:hRule="exact" w:val="434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Низкая частота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5% - 25%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Наступление события не ожидается, хотя в целом оно возможно</w:t>
            </w:r>
          </w:p>
        </w:tc>
      </w:tr>
      <w:tr w:rsidR="00290D99" w:rsidTr="008958AF">
        <w:trPr>
          <w:trHeight w:hRule="exact" w:val="1045"/>
        </w:trPr>
        <w:tc>
          <w:tcPr>
            <w:tcW w:w="1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редко</w:t>
            </w:r>
          </w:p>
        </w:tc>
        <w:tc>
          <w:tcPr>
            <w:tcW w:w="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Менее 5%</w:t>
            </w:r>
          </w:p>
        </w:tc>
        <w:tc>
          <w:tcPr>
            <w:tcW w:w="3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85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Крайне маловероятно, что событие произойдет, ретроспективный анализ не содержит фактов подобного события (либо случаи единичны), событие происходит исключительно при определенных сложно достижимых обстоятельствах</w:t>
            </w:r>
          </w:p>
        </w:tc>
      </w:tr>
    </w:tbl>
    <w:p w:rsidR="00290D99" w:rsidRDefault="00290D99" w:rsidP="00290D99">
      <w:pPr>
        <w:spacing w:after="0" w:line="240" w:lineRule="atLeast"/>
        <w:ind w:firstLine="709"/>
        <w:jc w:val="right"/>
        <w:rPr>
          <w:rFonts w:ascii="Times New Roman" w:hAnsi="Times New Roman"/>
          <w:sz w:val="28"/>
          <w:szCs w:val="28"/>
          <w:lang w:bidi="ru-RU"/>
        </w:rPr>
      </w:pPr>
    </w:p>
    <w:p w:rsidR="00290D99" w:rsidRPr="00B86A0E" w:rsidRDefault="00BD3D7D" w:rsidP="00290D99">
      <w:pPr>
        <w:spacing w:after="0" w:line="240" w:lineRule="atLeast"/>
        <w:ind w:firstLine="709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hAnsi="Times New Roman"/>
          <w:sz w:val="28"/>
          <w:szCs w:val="28"/>
          <w:lang w:bidi="ru-RU"/>
        </w:rPr>
        <w:t>13</w:t>
      </w:r>
      <w:r w:rsidR="00290D99" w:rsidRPr="00B86A0E">
        <w:rPr>
          <w:rFonts w:ascii="Times New Roman" w:hAnsi="Times New Roman"/>
          <w:sz w:val="28"/>
          <w:szCs w:val="28"/>
          <w:lang w:bidi="ru-RU"/>
        </w:rPr>
        <w:t>.2. Градация степени выраженности критерия «потенциальный вред»:</w:t>
      </w:r>
    </w:p>
    <w:p w:rsidR="00290D99" w:rsidRPr="00C46F9E" w:rsidRDefault="00290D99" w:rsidP="00290D99">
      <w:pPr>
        <w:spacing w:after="0" w:line="240" w:lineRule="atLeast"/>
        <w:ind w:firstLine="709"/>
        <w:rPr>
          <w:rFonts w:ascii="Times New Roman" w:hAnsi="Times New Roman"/>
          <w:sz w:val="26"/>
          <w:szCs w:val="26"/>
          <w:lang w:bidi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4A0"/>
      </w:tblPr>
      <w:tblGrid>
        <w:gridCol w:w="2440"/>
        <w:gridCol w:w="7643"/>
      </w:tblGrid>
      <w:tr w:rsidR="00290D99" w:rsidTr="008958AF">
        <w:trPr>
          <w:trHeight w:hRule="exact" w:val="662"/>
          <w:tblHeader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Степень</w:t>
            </w:r>
          </w:p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выраженности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Описание</w:t>
            </w:r>
          </w:p>
        </w:tc>
      </w:tr>
      <w:tr w:rsidR="00290D99" w:rsidTr="008958AF">
        <w:trPr>
          <w:trHeight w:hRule="exact" w:val="605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тяжелый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Реализация коррупционного риска приведет к существенным потерям, в том числе охраняемым законом ценностям, и нарушению закупочной процедуры</w:t>
            </w:r>
          </w:p>
        </w:tc>
      </w:tr>
      <w:tr w:rsidR="00290D99" w:rsidTr="008958AF">
        <w:trPr>
          <w:trHeight w:hRule="exact" w:val="557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Значительный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Реализация коррупционного риска приведет к значительным потерям и нарушению закупочной процедуры</w:t>
            </w:r>
          </w:p>
        </w:tc>
      </w:tr>
      <w:tr w:rsidR="00290D99" w:rsidTr="008958AF">
        <w:trPr>
          <w:trHeight w:hRule="exact" w:val="56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uto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Средней тяжести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Риск, который, если не будет пресечен, может привести к ощутимым потерям и нарушению закупочной процедуры</w:t>
            </w:r>
          </w:p>
        </w:tc>
      </w:tr>
      <w:tr w:rsidR="00290D99" w:rsidTr="008958AF">
        <w:trPr>
          <w:trHeight w:hRule="exact" w:val="559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Легкий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Риск незначительно влияет на закупочную процедуру, существенного нарушения закупочной процедуры не наблюдается</w:t>
            </w:r>
          </w:p>
        </w:tc>
      </w:tr>
      <w:tr w:rsidR="00290D99" w:rsidTr="008958AF">
        <w:trPr>
          <w:trHeight w:hRule="exact" w:val="567"/>
        </w:trPr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69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Очень легкий</w:t>
            </w:r>
          </w:p>
        </w:tc>
        <w:tc>
          <w:tcPr>
            <w:tcW w:w="3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90D99" w:rsidRDefault="00290D99" w:rsidP="008958AF">
            <w:pPr>
              <w:widowControl w:val="0"/>
              <w:spacing w:after="0" w:line="240" w:lineRule="atLeast"/>
              <w:ind w:left="71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Потенциальный вред от коррупционного риска крайне незначительный и может быть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>администрирован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 w:bidi="ru-RU"/>
              </w:rPr>
              <w:t xml:space="preserve"> служащими (работниками) самостоятельно</w:t>
            </w:r>
          </w:p>
        </w:tc>
      </w:tr>
    </w:tbl>
    <w:p w:rsidR="00290D99" w:rsidRDefault="00290D99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290D99" w:rsidRPr="00B86A0E" w:rsidRDefault="00165476" w:rsidP="00290D9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290D99" w:rsidRPr="00B86A0E">
        <w:rPr>
          <w:rFonts w:ascii="Times New Roman" w:hAnsi="Times New Roman"/>
          <w:sz w:val="28"/>
          <w:szCs w:val="28"/>
        </w:rPr>
        <w:t>. Ранжирование коррупционных рисков по значимости может проводиться с использованием как качественных, так и количественных показателей.</w:t>
      </w:r>
    </w:p>
    <w:p w:rsidR="00165476" w:rsidRDefault="00290D99" w:rsidP="0016547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sz w:val="28"/>
          <w:szCs w:val="28"/>
        </w:rPr>
        <w:t>Значимость коррупционных рисков определяется сочетанием рассчитанных ранее параметров: вероятности реализации коррупционного риска и возможного (потенциального) вреда от его реализации (вред).</w:t>
      </w:r>
    </w:p>
    <w:p w:rsidR="00290D99" w:rsidRPr="00165476" w:rsidRDefault="00165476" w:rsidP="0016547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290D99" w:rsidRPr="00B86A0E">
        <w:rPr>
          <w:rFonts w:ascii="Times New Roman" w:hAnsi="Times New Roman"/>
          <w:sz w:val="28"/>
          <w:szCs w:val="28"/>
        </w:rPr>
        <w:t xml:space="preserve">. По результатам проведенной оценки коррупционных рисков </w:t>
      </w:r>
      <w:r>
        <w:rPr>
          <w:rFonts w:ascii="Times New Roman" w:hAnsi="Times New Roman"/>
          <w:sz w:val="28"/>
          <w:szCs w:val="28"/>
        </w:rPr>
        <w:t>ведущий</w:t>
      </w:r>
      <w:r w:rsidR="00290D99" w:rsidRPr="00B86A0E">
        <w:rPr>
          <w:rFonts w:ascii="Times New Roman" w:hAnsi="Times New Roman"/>
          <w:sz w:val="28"/>
          <w:szCs w:val="28"/>
        </w:rPr>
        <w:t xml:space="preserve"> специалист-эксперт </w:t>
      </w:r>
      <w:proofErr w:type="gramStart"/>
      <w:r>
        <w:rPr>
          <w:rFonts w:ascii="Times New Roman" w:hAnsi="Times New Roman"/>
          <w:bCs/>
          <w:sz w:val="28"/>
          <w:szCs w:val="28"/>
          <w:lang w:bidi="ru-RU"/>
        </w:rPr>
        <w:t>административного</w:t>
      </w:r>
      <w:proofErr w:type="gramEnd"/>
      <w:r>
        <w:rPr>
          <w:rFonts w:ascii="Times New Roman" w:hAnsi="Times New Roman"/>
          <w:bCs/>
          <w:sz w:val="28"/>
          <w:szCs w:val="28"/>
          <w:lang w:bidi="ru-RU"/>
        </w:rPr>
        <w:t>, ответственный за профилактику коррупционных правонарушений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 xml:space="preserve"> составляет реестр коррупционных рисков и план по минимизации корру</w:t>
      </w:r>
      <w:r>
        <w:rPr>
          <w:rFonts w:ascii="Times New Roman" w:hAnsi="Times New Roman"/>
          <w:bCs/>
          <w:sz w:val="28"/>
          <w:szCs w:val="28"/>
          <w:lang w:bidi="ru-RU"/>
        </w:rPr>
        <w:t>пционных рисков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 xml:space="preserve">. </w:t>
      </w:r>
      <w:r>
        <w:rPr>
          <w:rFonts w:ascii="Times New Roman" w:hAnsi="Times New Roman"/>
          <w:bCs/>
          <w:sz w:val="28"/>
          <w:szCs w:val="28"/>
          <w:lang w:bidi="ru-RU"/>
        </w:rPr>
        <w:t>При необходимости проекты реестра коррупционных рисков и плана по минимизации коррупционных рисков дорабатываются.</w:t>
      </w:r>
    </w:p>
    <w:p w:rsidR="00290D99" w:rsidRDefault="00165476" w:rsidP="00290D99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>
        <w:rPr>
          <w:rFonts w:ascii="Times New Roman" w:hAnsi="Times New Roman"/>
          <w:bCs/>
          <w:sz w:val="28"/>
          <w:szCs w:val="28"/>
          <w:lang w:bidi="ru-RU"/>
        </w:rPr>
        <w:t>16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 xml:space="preserve">. Проекты реестра коррупционных рисков и план по минимизации коррупционных рисков направляются на согласование во все заинтересованные подразделения </w:t>
      </w:r>
      <w:r>
        <w:rPr>
          <w:rFonts w:ascii="Times New Roman" w:hAnsi="Times New Roman"/>
          <w:bCs/>
          <w:sz w:val="28"/>
          <w:szCs w:val="28"/>
          <w:lang w:bidi="ru-RU"/>
        </w:rPr>
        <w:t>Липецкстата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 xml:space="preserve">. Проекты реестра коррупционных рисков и план по минимизации коррупционных рисков утверждаются руководителем </w:t>
      </w:r>
      <w:r>
        <w:rPr>
          <w:rFonts w:ascii="Times New Roman" w:hAnsi="Times New Roman"/>
          <w:bCs/>
          <w:sz w:val="28"/>
          <w:szCs w:val="28"/>
          <w:lang w:bidi="ru-RU"/>
        </w:rPr>
        <w:t>Липецкстата</w:t>
      </w:r>
      <w:r w:rsidR="00290D99" w:rsidRPr="00B86A0E">
        <w:rPr>
          <w:rFonts w:ascii="Times New Roman" w:hAnsi="Times New Roman"/>
          <w:bCs/>
          <w:sz w:val="28"/>
          <w:szCs w:val="28"/>
          <w:lang w:bidi="ru-RU"/>
        </w:rPr>
        <w:t xml:space="preserve"> и размещаются после утверждения на официальном сайте в информационно-телекоммуникационной сети «Интернет».</w:t>
      </w:r>
    </w:p>
    <w:p w:rsidR="00290D99" w:rsidRDefault="00290D99" w:rsidP="00290D99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290D99" w:rsidRPr="00B86A0E" w:rsidRDefault="00290D99" w:rsidP="00290D99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</w:p>
    <w:p w:rsidR="00290D99" w:rsidRPr="00B86A0E" w:rsidRDefault="00290D99" w:rsidP="00290D99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/>
          <w:bCs/>
          <w:iCs/>
          <w:sz w:val="28"/>
          <w:szCs w:val="28"/>
          <w:lang w:bidi="ru-RU"/>
        </w:rPr>
      </w:pPr>
      <w:bookmarkStart w:id="0" w:name="bookmark9"/>
      <w:r w:rsidRPr="00B86A0E">
        <w:rPr>
          <w:rFonts w:ascii="Times New Roman" w:hAnsi="Times New Roman"/>
          <w:bCs/>
          <w:iCs/>
          <w:sz w:val="28"/>
          <w:szCs w:val="28"/>
          <w:lang w:bidi="ru-RU"/>
        </w:rPr>
        <w:t xml:space="preserve">3. Мониторинг реализации мер по минимизации выявленных </w:t>
      </w:r>
      <w:r w:rsidRPr="00B86A0E">
        <w:rPr>
          <w:rFonts w:ascii="Times New Roman" w:hAnsi="Times New Roman"/>
          <w:bCs/>
          <w:iCs/>
          <w:sz w:val="28"/>
          <w:szCs w:val="28"/>
          <w:lang w:bidi="ru-RU"/>
        </w:rPr>
        <w:br/>
        <w:t>коррупционных рисков</w:t>
      </w:r>
      <w:bookmarkEnd w:id="0"/>
    </w:p>
    <w:p w:rsidR="00290D99" w:rsidRPr="00B86A0E" w:rsidRDefault="00290D99" w:rsidP="00290D99">
      <w:pPr>
        <w:tabs>
          <w:tab w:val="left" w:pos="284"/>
          <w:tab w:val="left" w:pos="851"/>
        </w:tabs>
        <w:spacing w:after="0" w:line="240" w:lineRule="atLeast"/>
        <w:jc w:val="center"/>
        <w:rPr>
          <w:rFonts w:ascii="Times New Roman" w:hAnsi="Times New Roman"/>
          <w:bCs/>
          <w:sz w:val="28"/>
          <w:szCs w:val="28"/>
          <w:lang w:bidi="ru-RU"/>
        </w:rPr>
      </w:pPr>
    </w:p>
    <w:p w:rsidR="00290D99" w:rsidRPr="00B86A0E" w:rsidRDefault="00290D99" w:rsidP="00290D99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23. Мониторинг реализации мер по минимизации выявленных коррупционных рисков является элементом системы управления рисками и проводится в целях оценки эффективности реализуемых мер.</w:t>
      </w:r>
    </w:p>
    <w:p w:rsidR="00290D99" w:rsidRPr="00B86A0E" w:rsidRDefault="00290D99" w:rsidP="00290D99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24. Мониторинг проводится на регулярной основе, а также по мере необходимости. </w:t>
      </w:r>
    </w:p>
    <w:p w:rsidR="00290D99" w:rsidRPr="00B86A0E" w:rsidRDefault="00290D99" w:rsidP="00290D99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bidi="ru-RU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25. Подготовку доклада о результатах соответствующего мониторинга, который представляется на рассмотрение руководителю </w:t>
      </w:r>
      <w:r w:rsidR="00165476">
        <w:rPr>
          <w:rFonts w:ascii="Times New Roman" w:hAnsi="Times New Roman"/>
          <w:bCs/>
          <w:sz w:val="28"/>
          <w:szCs w:val="28"/>
          <w:lang w:bidi="ru-RU"/>
        </w:rPr>
        <w:t>Липецкстата</w:t>
      </w: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, осуществляет </w:t>
      </w:r>
      <w:r w:rsidR="00165476">
        <w:rPr>
          <w:rFonts w:ascii="Times New Roman" w:hAnsi="Times New Roman"/>
          <w:bCs/>
          <w:sz w:val="28"/>
          <w:szCs w:val="28"/>
          <w:lang w:bidi="ru-RU"/>
        </w:rPr>
        <w:t>ведущий</w:t>
      </w: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 специалист-э</w:t>
      </w:r>
      <w:r w:rsidR="00165476">
        <w:rPr>
          <w:rFonts w:ascii="Times New Roman" w:hAnsi="Times New Roman"/>
          <w:bCs/>
          <w:sz w:val="28"/>
          <w:szCs w:val="28"/>
          <w:lang w:bidi="ru-RU"/>
        </w:rPr>
        <w:t>ксперт административно</w:t>
      </w:r>
      <w:r w:rsidRPr="00B86A0E">
        <w:rPr>
          <w:rFonts w:ascii="Times New Roman" w:hAnsi="Times New Roman"/>
          <w:bCs/>
          <w:sz w:val="28"/>
          <w:szCs w:val="28"/>
          <w:lang w:bidi="ru-RU"/>
        </w:rPr>
        <w:t>го отдела</w:t>
      </w:r>
      <w:r w:rsidR="00165476">
        <w:rPr>
          <w:rFonts w:ascii="Times New Roman" w:hAnsi="Times New Roman"/>
          <w:bCs/>
          <w:sz w:val="28"/>
          <w:szCs w:val="28"/>
          <w:lang w:bidi="ru-RU"/>
        </w:rPr>
        <w:t>, ответственный за</w:t>
      </w: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 </w:t>
      </w:r>
      <w:r w:rsidR="00165476">
        <w:rPr>
          <w:rFonts w:ascii="Times New Roman" w:hAnsi="Times New Roman"/>
          <w:bCs/>
          <w:sz w:val="28"/>
          <w:szCs w:val="28"/>
          <w:lang w:bidi="ru-RU"/>
        </w:rPr>
        <w:t>профилактику</w:t>
      </w:r>
      <w:r w:rsidRPr="00B86A0E">
        <w:rPr>
          <w:rFonts w:ascii="Times New Roman" w:hAnsi="Times New Roman"/>
          <w:bCs/>
          <w:sz w:val="28"/>
          <w:szCs w:val="28"/>
          <w:lang w:bidi="ru-RU"/>
        </w:rPr>
        <w:t xml:space="preserve"> коррупционных и иных правонарушений.</w:t>
      </w:r>
    </w:p>
    <w:p w:rsidR="00290D99" w:rsidRPr="00B86A0E" w:rsidRDefault="00290D99" w:rsidP="00290D99">
      <w:pPr>
        <w:tabs>
          <w:tab w:val="left" w:pos="284"/>
          <w:tab w:val="left" w:pos="851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B86A0E">
        <w:rPr>
          <w:rFonts w:ascii="Times New Roman" w:hAnsi="Times New Roman"/>
          <w:bCs/>
          <w:sz w:val="28"/>
          <w:szCs w:val="28"/>
          <w:lang w:bidi="ru-RU"/>
        </w:rPr>
        <w:t>26. Результаты проведенного мониторинга могут являться основанием для повторного проведения оценки коррупционных рисков и (или) внесения изменений в реестр коррупционных рисков и план по минимизации коррупционных рисков.</w:t>
      </w:r>
    </w:p>
    <w:p w:rsidR="00290D99" w:rsidRDefault="00290D99" w:rsidP="00290D99">
      <w:pPr>
        <w:spacing w:after="0" w:line="240" w:lineRule="atLeast"/>
        <w:rPr>
          <w:sz w:val="26"/>
          <w:szCs w:val="26"/>
        </w:rPr>
      </w:pPr>
    </w:p>
    <w:p w:rsidR="00290D99" w:rsidRDefault="00290D99" w:rsidP="00290D99">
      <w:pPr>
        <w:spacing w:after="0" w:line="240" w:lineRule="atLeast"/>
        <w:jc w:val="center"/>
        <w:rPr>
          <w:sz w:val="26"/>
          <w:szCs w:val="26"/>
        </w:rPr>
      </w:pPr>
      <w:r>
        <w:rPr>
          <w:sz w:val="26"/>
          <w:szCs w:val="26"/>
        </w:rPr>
        <w:t>_________________________</w:t>
      </w:r>
    </w:p>
    <w:p w:rsidR="00290D99" w:rsidRDefault="00290D99" w:rsidP="00290D99">
      <w:pPr>
        <w:spacing w:after="0" w:line="240" w:lineRule="atLeast"/>
        <w:jc w:val="center"/>
        <w:rPr>
          <w:sz w:val="26"/>
          <w:szCs w:val="26"/>
        </w:rPr>
      </w:pPr>
    </w:p>
    <w:p w:rsidR="00290D99" w:rsidRDefault="00290D99" w:rsidP="00290D99">
      <w:pPr>
        <w:spacing w:after="0" w:line="240" w:lineRule="atLeast"/>
        <w:jc w:val="center"/>
        <w:rPr>
          <w:sz w:val="26"/>
          <w:szCs w:val="26"/>
        </w:rPr>
      </w:pPr>
    </w:p>
    <w:p w:rsidR="00290D99" w:rsidRDefault="00290D99" w:rsidP="00290D99">
      <w:pPr>
        <w:spacing w:after="0" w:line="240" w:lineRule="atLeast"/>
        <w:jc w:val="center"/>
        <w:rPr>
          <w:sz w:val="26"/>
          <w:szCs w:val="26"/>
        </w:rPr>
      </w:pPr>
    </w:p>
    <w:p w:rsidR="00290D99" w:rsidRPr="00DE30F6" w:rsidRDefault="00290D99" w:rsidP="00290D9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458AA" w:rsidRDefault="00C458AA" w:rsidP="005423AC">
      <w:pPr>
        <w:rPr>
          <w:rFonts w:ascii="Times New Roman" w:hAnsi="Times New Roman"/>
          <w:sz w:val="28"/>
          <w:szCs w:val="28"/>
        </w:rPr>
      </w:pPr>
    </w:p>
    <w:p w:rsidR="009B4B4F" w:rsidRPr="00BE41A1" w:rsidRDefault="009B4B4F" w:rsidP="00DE24A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E41A1">
        <w:rPr>
          <w:rFonts w:ascii="Times New Roman" w:hAnsi="Times New Roman"/>
          <w:sz w:val="28"/>
          <w:szCs w:val="28"/>
        </w:rPr>
        <w:t xml:space="preserve"> </w:t>
      </w:r>
    </w:p>
    <w:sectPr w:rsidR="009B4B4F" w:rsidRPr="00BE41A1" w:rsidSect="00DE24A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A6EC5"/>
    <w:multiLevelType w:val="hybridMultilevel"/>
    <w:tmpl w:val="C826E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04E6D"/>
    <w:multiLevelType w:val="hybridMultilevel"/>
    <w:tmpl w:val="C38418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AC0734"/>
    <w:multiLevelType w:val="hybridMultilevel"/>
    <w:tmpl w:val="CE0E9028"/>
    <w:lvl w:ilvl="0" w:tplc="F0BE6D46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0873D1"/>
    <w:multiLevelType w:val="hybridMultilevel"/>
    <w:tmpl w:val="23C47494"/>
    <w:lvl w:ilvl="0" w:tplc="22D0D8C2">
      <w:start w:val="1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6133D51"/>
    <w:multiLevelType w:val="hybridMultilevel"/>
    <w:tmpl w:val="34F8670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9C43E3"/>
    <w:multiLevelType w:val="hybridMultilevel"/>
    <w:tmpl w:val="F89E72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7B7662"/>
    <w:multiLevelType w:val="multilevel"/>
    <w:tmpl w:val="E43A4350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7D160D75"/>
    <w:multiLevelType w:val="hybridMultilevel"/>
    <w:tmpl w:val="82CC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7050F"/>
    <w:rsid w:val="00001B12"/>
    <w:rsid w:val="00047008"/>
    <w:rsid w:val="00070049"/>
    <w:rsid w:val="00082CD1"/>
    <w:rsid w:val="00084FBC"/>
    <w:rsid w:val="00085DAC"/>
    <w:rsid w:val="000863A1"/>
    <w:rsid w:val="000A5D8B"/>
    <w:rsid w:val="000B5DB6"/>
    <w:rsid w:val="000C7D38"/>
    <w:rsid w:val="000E7340"/>
    <w:rsid w:val="000E7B01"/>
    <w:rsid w:val="001174AF"/>
    <w:rsid w:val="00130E9B"/>
    <w:rsid w:val="0015537E"/>
    <w:rsid w:val="00155849"/>
    <w:rsid w:val="00165476"/>
    <w:rsid w:val="00174AAB"/>
    <w:rsid w:val="001852A0"/>
    <w:rsid w:val="001B4B38"/>
    <w:rsid w:val="001C42DA"/>
    <w:rsid w:val="00201285"/>
    <w:rsid w:val="0020370D"/>
    <w:rsid w:val="00204D50"/>
    <w:rsid w:val="0020740B"/>
    <w:rsid w:val="002117B0"/>
    <w:rsid w:val="0022337E"/>
    <w:rsid w:val="00232F89"/>
    <w:rsid w:val="00243C7C"/>
    <w:rsid w:val="002540F2"/>
    <w:rsid w:val="00255E02"/>
    <w:rsid w:val="00266497"/>
    <w:rsid w:val="00280BDE"/>
    <w:rsid w:val="00287186"/>
    <w:rsid w:val="00290D99"/>
    <w:rsid w:val="002B4909"/>
    <w:rsid w:val="002E06DD"/>
    <w:rsid w:val="002E65A4"/>
    <w:rsid w:val="002E6975"/>
    <w:rsid w:val="00381873"/>
    <w:rsid w:val="003834FE"/>
    <w:rsid w:val="0038637A"/>
    <w:rsid w:val="003A04F2"/>
    <w:rsid w:val="003A289A"/>
    <w:rsid w:val="003B0B7B"/>
    <w:rsid w:val="003B4A21"/>
    <w:rsid w:val="003C2600"/>
    <w:rsid w:val="003F782F"/>
    <w:rsid w:val="00402C25"/>
    <w:rsid w:val="004279EA"/>
    <w:rsid w:val="0044350F"/>
    <w:rsid w:val="004857A6"/>
    <w:rsid w:val="004E1BF7"/>
    <w:rsid w:val="004E57B4"/>
    <w:rsid w:val="004F3042"/>
    <w:rsid w:val="004F570A"/>
    <w:rsid w:val="004F5789"/>
    <w:rsid w:val="00515CAF"/>
    <w:rsid w:val="0052202D"/>
    <w:rsid w:val="005423AC"/>
    <w:rsid w:val="00544789"/>
    <w:rsid w:val="00544F3F"/>
    <w:rsid w:val="00545DAF"/>
    <w:rsid w:val="005742BA"/>
    <w:rsid w:val="00586784"/>
    <w:rsid w:val="005B3FAF"/>
    <w:rsid w:val="00634A5F"/>
    <w:rsid w:val="006474C2"/>
    <w:rsid w:val="00657B9B"/>
    <w:rsid w:val="006720E0"/>
    <w:rsid w:val="00674006"/>
    <w:rsid w:val="006A5492"/>
    <w:rsid w:val="006A6E03"/>
    <w:rsid w:val="006A74FA"/>
    <w:rsid w:val="006B5DCB"/>
    <w:rsid w:val="006C6D4A"/>
    <w:rsid w:val="0072033A"/>
    <w:rsid w:val="0072693C"/>
    <w:rsid w:val="00764886"/>
    <w:rsid w:val="007A5C00"/>
    <w:rsid w:val="00813BC0"/>
    <w:rsid w:val="0082727F"/>
    <w:rsid w:val="00850B3C"/>
    <w:rsid w:val="00852C7C"/>
    <w:rsid w:val="00863514"/>
    <w:rsid w:val="008774A4"/>
    <w:rsid w:val="0089178D"/>
    <w:rsid w:val="008958AF"/>
    <w:rsid w:val="00895CCF"/>
    <w:rsid w:val="008A2E95"/>
    <w:rsid w:val="008A5B44"/>
    <w:rsid w:val="008A61EF"/>
    <w:rsid w:val="008B7955"/>
    <w:rsid w:val="008D0709"/>
    <w:rsid w:val="008D6A55"/>
    <w:rsid w:val="00912B6D"/>
    <w:rsid w:val="00920956"/>
    <w:rsid w:val="00934898"/>
    <w:rsid w:val="00950EEA"/>
    <w:rsid w:val="009913FD"/>
    <w:rsid w:val="009A100F"/>
    <w:rsid w:val="009A25AF"/>
    <w:rsid w:val="009B4B4F"/>
    <w:rsid w:val="009D1C14"/>
    <w:rsid w:val="009D44DF"/>
    <w:rsid w:val="009D5AF6"/>
    <w:rsid w:val="009E4A06"/>
    <w:rsid w:val="009F2D81"/>
    <w:rsid w:val="009F70A4"/>
    <w:rsid w:val="00A01C5B"/>
    <w:rsid w:val="00A04F3D"/>
    <w:rsid w:val="00A17751"/>
    <w:rsid w:val="00A17E53"/>
    <w:rsid w:val="00A31994"/>
    <w:rsid w:val="00A37403"/>
    <w:rsid w:val="00A91CCE"/>
    <w:rsid w:val="00A96D17"/>
    <w:rsid w:val="00AA0B38"/>
    <w:rsid w:val="00AC20C2"/>
    <w:rsid w:val="00AD0BB1"/>
    <w:rsid w:val="00AD4180"/>
    <w:rsid w:val="00AF5F21"/>
    <w:rsid w:val="00B10061"/>
    <w:rsid w:val="00B260F8"/>
    <w:rsid w:val="00B853FD"/>
    <w:rsid w:val="00B8610C"/>
    <w:rsid w:val="00B97F3E"/>
    <w:rsid w:val="00BA1E0D"/>
    <w:rsid w:val="00BB0203"/>
    <w:rsid w:val="00BC1903"/>
    <w:rsid w:val="00BD3D7D"/>
    <w:rsid w:val="00BE021D"/>
    <w:rsid w:val="00BF113A"/>
    <w:rsid w:val="00C24651"/>
    <w:rsid w:val="00C41AF3"/>
    <w:rsid w:val="00C458AA"/>
    <w:rsid w:val="00C73620"/>
    <w:rsid w:val="00C9015E"/>
    <w:rsid w:val="00C964C1"/>
    <w:rsid w:val="00C96D4B"/>
    <w:rsid w:val="00CA02D2"/>
    <w:rsid w:val="00CC60C2"/>
    <w:rsid w:val="00D13EA7"/>
    <w:rsid w:val="00D14EBF"/>
    <w:rsid w:val="00D31852"/>
    <w:rsid w:val="00D5398C"/>
    <w:rsid w:val="00D87048"/>
    <w:rsid w:val="00DB06A7"/>
    <w:rsid w:val="00DC226C"/>
    <w:rsid w:val="00DD711D"/>
    <w:rsid w:val="00DE24A8"/>
    <w:rsid w:val="00DF4F6C"/>
    <w:rsid w:val="00E0602E"/>
    <w:rsid w:val="00E073D3"/>
    <w:rsid w:val="00E204E0"/>
    <w:rsid w:val="00E37D76"/>
    <w:rsid w:val="00E57E8A"/>
    <w:rsid w:val="00E7050F"/>
    <w:rsid w:val="00E731A5"/>
    <w:rsid w:val="00E76E08"/>
    <w:rsid w:val="00E97C45"/>
    <w:rsid w:val="00EA06D1"/>
    <w:rsid w:val="00EF3A66"/>
    <w:rsid w:val="00EF7A57"/>
    <w:rsid w:val="00F0537F"/>
    <w:rsid w:val="00F16B2A"/>
    <w:rsid w:val="00F44321"/>
    <w:rsid w:val="00F44F93"/>
    <w:rsid w:val="00F84D94"/>
    <w:rsid w:val="00F928D8"/>
    <w:rsid w:val="00FA1E36"/>
    <w:rsid w:val="00FC6A9F"/>
    <w:rsid w:val="00FD1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F3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B4A21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74A4"/>
    <w:pPr>
      <w:ind w:left="720"/>
      <w:contextualSpacing/>
    </w:pPr>
  </w:style>
  <w:style w:type="paragraph" w:styleId="a4">
    <w:name w:val="No Spacing"/>
    <w:uiPriority w:val="1"/>
    <w:qFormat/>
    <w:rsid w:val="00912B6D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E76E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3B4A21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rsid w:val="003B4A2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3B4A21"/>
    <w:rPr>
      <w:rFonts w:ascii="Times New Roman" w:eastAsia="Times New Roman" w:hAnsi="Times New Roman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72033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BEA1-5660-4C5A-8E9E-FB7AC956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4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P48.PopovaOV</dc:creator>
  <cp:keywords/>
  <dc:description/>
  <cp:lastModifiedBy>priem_dyak</cp:lastModifiedBy>
  <cp:revision>1</cp:revision>
  <cp:lastPrinted>2022-06-14T07:49:00Z</cp:lastPrinted>
  <dcterms:created xsi:type="dcterms:W3CDTF">2022-06-14T07:50:00Z</dcterms:created>
  <dcterms:modified xsi:type="dcterms:W3CDTF">2022-06-15T11:44:00Z</dcterms:modified>
</cp:coreProperties>
</file>